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令和６年度　職員の給与の男女の差異の情報公表</w:t>
      </w:r>
    </w:p>
    <w:p>
      <w:pPr>
        <w:pStyle w:val="0"/>
        <w:spacing w:line="320" w:lineRule="exact"/>
        <w:rPr>
          <w:rFonts w:hint="default" w:ascii="ＭＳ ゴシック" w:hAnsi="ＭＳ ゴシック" w:eastAsia="ＭＳ ゴシック"/>
          <w:b w:val="1"/>
          <w:sz w:val="28"/>
        </w:rPr>
      </w:pPr>
    </w:p>
    <w:p>
      <w:pPr>
        <w:pStyle w:val="0"/>
        <w:spacing w:line="320" w:lineRule="exact"/>
        <w:rPr>
          <w:rFonts w:hint="default" w:ascii="ＭＳ ゴシック" w:hAnsi="ＭＳ ゴシック" w:eastAsia="ＭＳ ゴシック"/>
          <w:sz w:val="22"/>
          <w:u w:val="single" w:color="auto"/>
        </w:rPr>
      </w:pPr>
      <w:r>
        <w:rPr>
          <w:rFonts w:hint="eastAsia" w:ascii="ＭＳ ゴシック" w:hAnsi="ＭＳ ゴシック" w:eastAsia="ＭＳ ゴシック"/>
          <w:sz w:val="22"/>
          <w:u w:val="single" w:color="auto"/>
        </w:rPr>
        <w:t>特定事業主名：津別町　　</w:t>
      </w:r>
    </w:p>
    <w:p>
      <w:pPr>
        <w:pStyle w:val="0"/>
        <w:spacing w:line="320" w:lineRule="exact"/>
        <w:rPr>
          <w:rFonts w:hint="default" w:ascii="ＭＳ ゴシック" w:hAnsi="ＭＳ ゴシック" w:eastAsia="ＭＳ ゴシック"/>
          <w:b w:val="1"/>
          <w:sz w:val="22"/>
        </w:rPr>
      </w:pPr>
    </w:p>
    <w:p>
      <w:pPr>
        <w:pStyle w:val="0"/>
        <w:spacing w:line="320" w:lineRule="exact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１．全</w:t>
      </w:r>
      <w:r>
        <w:rPr>
          <w:rFonts w:hint="default" w:ascii="ＭＳ ゴシック" w:hAnsi="ＭＳ ゴシック" w:eastAsia="ＭＳ ゴシック"/>
          <w:b w:val="1"/>
          <w:sz w:val="22"/>
        </w:rPr>
        <w:t>職員</w:t>
      </w:r>
      <w:r>
        <w:rPr>
          <w:rFonts w:hint="eastAsia" w:ascii="ＭＳ ゴシック" w:hAnsi="ＭＳ ゴシック" w:eastAsia="ＭＳ ゴシック"/>
          <w:b w:val="1"/>
          <w:sz w:val="22"/>
        </w:rPr>
        <w:t>に係る情報</w:t>
      </w:r>
    </w:p>
    <w:tbl>
      <w:tblPr>
        <w:tblStyle w:val="26"/>
        <w:tblpPr w:leftFromText="142" w:rightFromText="142" w:topFromText="0" w:bottomFromText="0" w:vertAnchor="text" w:horzAnchor="margin" w:tblpXSpec="center" w:tblpY="70"/>
        <w:tblOverlap w:val="never"/>
        <w:tblW w:w="9057" w:type="dxa"/>
        <w:tblLayout w:type="fixed"/>
        <w:tblLook w:firstRow="1" w:lastRow="0" w:firstColumn="1" w:lastColumn="0" w:noHBand="0" w:noVBand="1" w:val="04A0"/>
      </w:tblPr>
      <w:tblGrid>
        <w:gridCol w:w="4521"/>
        <w:gridCol w:w="4536"/>
      </w:tblGrid>
      <w:tr>
        <w:trPr>
          <w:trHeight w:val="284" w:hRule="atLeast"/>
        </w:trPr>
        <w:tc>
          <w:tcPr>
            <w:tcW w:w="452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職員区分</w:t>
            </w:r>
          </w:p>
        </w:tc>
        <w:tc>
          <w:tcPr>
            <w:tcW w:w="45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男女の給与の差異</w:t>
            </w:r>
          </w:p>
          <w:p>
            <w:pPr>
              <w:pStyle w:val="0"/>
              <w:spacing w:line="320" w:lineRule="exac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（男性の給与に対する女性の給与の割合）</w:t>
            </w:r>
          </w:p>
        </w:tc>
      </w:tr>
      <w:tr>
        <w:trPr>
          <w:trHeight w:val="284" w:hRule="atLeast"/>
        </w:trPr>
        <w:tc>
          <w:tcPr>
            <w:tcW w:w="4521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任期の定めのない常勤職員</w:t>
            </w:r>
          </w:p>
        </w:tc>
        <w:tc>
          <w:tcPr>
            <w:tcW w:w="4536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　　　　　　　　　　　　　９７．６　％</w:t>
            </w:r>
          </w:p>
        </w:tc>
      </w:tr>
      <w:tr>
        <w:trPr>
          <w:trHeight w:val="284" w:hRule="atLeast"/>
        </w:trPr>
        <w:tc>
          <w:tcPr>
            <w:tcW w:w="452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任期の定めのない常勤職員以外の職員</w:t>
            </w:r>
          </w:p>
        </w:tc>
        <w:tc>
          <w:tcPr>
            <w:tcW w:w="453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　　　　　　　　　　　　１０７．７　％</w:t>
            </w:r>
          </w:p>
        </w:tc>
      </w:tr>
      <w:tr>
        <w:trPr>
          <w:trHeight w:val="284" w:hRule="atLeast"/>
        </w:trPr>
        <w:tc>
          <w:tcPr>
            <w:tcW w:w="4521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全職員</w:t>
            </w:r>
          </w:p>
        </w:tc>
        <w:tc>
          <w:tcPr>
            <w:tcW w:w="4536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　　　　　　　　　　　　　７９．８　％</w:t>
            </w:r>
          </w:p>
        </w:tc>
      </w:tr>
    </w:tbl>
    <w:p>
      <w:pPr>
        <w:pStyle w:val="0"/>
        <w:spacing w:line="320" w:lineRule="exac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spacing w:line="320" w:lineRule="exact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２．「任期の定めのない常勤職員」に係る役職段階別及び勤続年数別の情報</w:t>
      </w:r>
    </w:p>
    <w:p>
      <w:pPr>
        <w:pStyle w:val="0"/>
        <w:spacing w:before="108" w:beforeLines="30" w:beforeAutospacing="0" w:line="240" w:lineRule="exact"/>
        <w:ind w:left="141" w:leftChars="67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z w:val="20"/>
        </w:rPr>
        <w:t>＊　</w:t>
      </w:r>
      <w:r>
        <w:rPr>
          <w:rFonts w:hint="eastAsia" w:ascii="ＭＳ ゴシック" w:hAnsi="ＭＳ ゴシック" w:eastAsia="ＭＳ ゴシック"/>
        </w:rPr>
        <w:t>地方公共団体における「任期の定めのない常勤職員」の給料については、各地方公共団体の条例で</w:t>
      </w:r>
    </w:p>
    <w:p>
      <w:pPr>
        <w:pStyle w:val="0"/>
        <w:spacing w:line="240" w:lineRule="exact"/>
        <w:ind w:left="141" w:leftChars="67" w:firstLine="210" w:firstLine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定める給料表に基づき決定されており、同一の級・号給であれば、同一の額となっている。</w:t>
      </w:r>
    </w:p>
    <w:p>
      <w:pPr>
        <w:pStyle w:val="0"/>
        <w:spacing w:line="320" w:lineRule="exact"/>
        <w:rPr>
          <w:rFonts w:hint="default" w:ascii="ＭＳ ゴシック" w:hAnsi="ＭＳ ゴシック" w:eastAsia="ＭＳ ゴシック"/>
          <w:b w:val="1"/>
          <w:sz w:val="24"/>
        </w:rPr>
      </w:pPr>
    </w:p>
    <w:p>
      <w:pPr>
        <w:pStyle w:val="0"/>
        <w:spacing w:line="320" w:lineRule="exact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(</w:t>
      </w:r>
      <w:r>
        <w:rPr>
          <w:rFonts w:hint="default" w:ascii="ＭＳ ゴシック" w:hAnsi="ＭＳ ゴシック" w:eastAsia="ＭＳ ゴシック"/>
          <w:b w:val="1"/>
          <w:sz w:val="22"/>
        </w:rPr>
        <w:t>1</w:t>
      </w:r>
      <w:r>
        <w:rPr>
          <w:rFonts w:hint="eastAsia" w:ascii="ＭＳ ゴシック" w:hAnsi="ＭＳ ゴシック" w:eastAsia="ＭＳ ゴシック"/>
          <w:b w:val="1"/>
          <w:sz w:val="22"/>
        </w:rPr>
        <w:t>)</w:t>
      </w:r>
      <w:r>
        <w:rPr>
          <w:rFonts w:hint="default" w:ascii="ＭＳ ゴシック" w:hAnsi="ＭＳ ゴシック" w:eastAsia="ＭＳ ゴシック"/>
          <w:b w:val="1"/>
          <w:sz w:val="22"/>
        </w:rPr>
        <w:t xml:space="preserve"> </w:t>
      </w:r>
      <w:r>
        <w:rPr>
          <w:rFonts w:hint="eastAsia" w:ascii="ＭＳ ゴシック" w:hAnsi="ＭＳ ゴシック" w:eastAsia="ＭＳ ゴシック"/>
          <w:b w:val="1"/>
          <w:sz w:val="22"/>
        </w:rPr>
        <w:t>役職段階別</w:t>
      </w:r>
    </w:p>
    <w:tbl>
      <w:tblPr>
        <w:tblStyle w:val="26"/>
        <w:tblW w:w="9072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4536"/>
        <w:gridCol w:w="4536"/>
      </w:tblGrid>
      <w:tr>
        <w:trPr/>
        <w:tc>
          <w:tcPr>
            <w:tcW w:w="45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役職段階</w:t>
            </w:r>
          </w:p>
        </w:tc>
        <w:tc>
          <w:tcPr>
            <w:tcW w:w="45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男女の給与の差異</w:t>
            </w:r>
          </w:p>
          <w:p>
            <w:pPr>
              <w:pStyle w:val="0"/>
              <w:spacing w:line="320" w:lineRule="exac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（男性の給与に対する女性の給与の割合）</w:t>
            </w:r>
          </w:p>
        </w:tc>
      </w:tr>
      <w:tr>
        <w:trPr>
          <w:trHeight w:val="38" w:hRule="atLeast"/>
        </w:trPr>
        <w:tc>
          <w:tcPr>
            <w:tcW w:w="4536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課長相当職</w:t>
            </w:r>
          </w:p>
        </w:tc>
        <w:tc>
          <w:tcPr>
            <w:tcW w:w="4536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　　　　　　　　　　　　　９７．１　％</w:t>
            </w:r>
          </w:p>
        </w:tc>
      </w:tr>
      <w:tr>
        <w:trPr>
          <w:trHeight w:val="113" w:hRule="atLeast"/>
        </w:trPr>
        <w:tc>
          <w:tcPr>
            <w:tcW w:w="453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課長補佐</w:t>
            </w:r>
            <w:r>
              <w:rPr>
                <w:rFonts w:hint="default" w:ascii="ＭＳ ゴシック" w:hAnsi="ＭＳ ゴシック" w:eastAsia="ＭＳ ゴシック"/>
                <w:sz w:val="22"/>
              </w:rPr>
              <w:t>相当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職</w:t>
            </w:r>
          </w:p>
        </w:tc>
        <w:tc>
          <w:tcPr>
            <w:tcW w:w="453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　　　　　　　　　　　　　９８．５　％</w:t>
            </w:r>
          </w:p>
        </w:tc>
      </w:tr>
      <w:tr>
        <w:trPr>
          <w:trHeight w:val="323" w:hRule="atLeast"/>
        </w:trPr>
        <w:tc>
          <w:tcPr>
            <w:tcW w:w="4536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係長</w:t>
            </w:r>
            <w:r>
              <w:rPr>
                <w:rFonts w:hint="default" w:ascii="ＭＳ ゴシック" w:hAnsi="ＭＳ ゴシック" w:eastAsia="ＭＳ ゴシック"/>
                <w:sz w:val="22"/>
              </w:rPr>
              <w:t>相当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職</w:t>
            </w:r>
          </w:p>
        </w:tc>
        <w:tc>
          <w:tcPr>
            <w:tcW w:w="4536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　　　　　　　　　　　　　９５．９　％</w:t>
            </w:r>
          </w:p>
        </w:tc>
      </w:tr>
    </w:tbl>
    <w:p>
      <w:pPr>
        <w:pStyle w:val="0"/>
        <w:spacing w:line="320" w:lineRule="exac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spacing w:line="320" w:lineRule="exact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(</w:t>
      </w:r>
      <w:r>
        <w:rPr>
          <w:rFonts w:hint="default" w:ascii="ＭＳ ゴシック" w:hAnsi="ＭＳ ゴシック" w:eastAsia="ＭＳ ゴシック"/>
          <w:b w:val="1"/>
          <w:sz w:val="22"/>
        </w:rPr>
        <w:t xml:space="preserve">2) </w:t>
      </w:r>
      <w:r>
        <w:rPr>
          <w:rFonts w:hint="eastAsia" w:ascii="ＭＳ ゴシック" w:hAnsi="ＭＳ ゴシック" w:eastAsia="ＭＳ ゴシック"/>
          <w:b w:val="1"/>
          <w:sz w:val="22"/>
        </w:rPr>
        <w:t>勤続年数別</w:t>
      </w:r>
    </w:p>
    <w:tbl>
      <w:tblPr>
        <w:tblStyle w:val="26"/>
        <w:tblW w:w="9072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4536"/>
        <w:gridCol w:w="4536"/>
      </w:tblGrid>
      <w:tr>
        <w:trPr/>
        <w:tc>
          <w:tcPr>
            <w:tcW w:w="45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勤続年数</w:t>
            </w:r>
          </w:p>
        </w:tc>
        <w:tc>
          <w:tcPr>
            <w:tcW w:w="45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男女の給与の差異</w:t>
            </w:r>
          </w:p>
          <w:p>
            <w:pPr>
              <w:pStyle w:val="0"/>
              <w:spacing w:line="320" w:lineRule="exac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（男性の給与に対する女性の給与の割合）</w:t>
            </w:r>
          </w:p>
        </w:tc>
      </w:tr>
      <w:tr>
        <w:trPr/>
        <w:tc>
          <w:tcPr>
            <w:tcW w:w="4536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３６年以上</w:t>
            </w:r>
          </w:p>
        </w:tc>
        <w:tc>
          <w:tcPr>
            <w:tcW w:w="453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　　　　　　　　　　　　　８１．２　％</w:t>
            </w:r>
          </w:p>
        </w:tc>
      </w:tr>
      <w:tr>
        <w:trPr/>
        <w:tc>
          <w:tcPr>
            <w:tcW w:w="453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３１～３５年</w:t>
            </w:r>
          </w:p>
        </w:tc>
        <w:tc>
          <w:tcPr>
            <w:tcW w:w="453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　　　　　　　　　　　　　９８．３　％</w:t>
            </w:r>
          </w:p>
        </w:tc>
      </w:tr>
      <w:tr>
        <w:trPr/>
        <w:tc>
          <w:tcPr>
            <w:tcW w:w="453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２６～３０年</w:t>
            </w:r>
          </w:p>
        </w:tc>
        <w:tc>
          <w:tcPr>
            <w:tcW w:w="453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　　　　　　　　　　　　１０４．２　％</w:t>
            </w:r>
          </w:p>
        </w:tc>
      </w:tr>
      <w:tr>
        <w:trPr/>
        <w:tc>
          <w:tcPr>
            <w:tcW w:w="453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２１～２５年</w:t>
            </w:r>
          </w:p>
        </w:tc>
        <w:tc>
          <w:tcPr>
            <w:tcW w:w="453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　　　　　　　　　　　　　　　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－　％</w:t>
            </w:r>
          </w:p>
        </w:tc>
      </w:tr>
      <w:tr>
        <w:trPr/>
        <w:tc>
          <w:tcPr>
            <w:tcW w:w="453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１６～２０年</w:t>
            </w:r>
          </w:p>
        </w:tc>
        <w:tc>
          <w:tcPr>
            <w:tcW w:w="453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　　　　　　　　　　　　　　　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－　％</w:t>
            </w:r>
          </w:p>
        </w:tc>
      </w:tr>
      <w:tr>
        <w:trPr>
          <w:trHeight w:val="58" w:hRule="atLeast"/>
        </w:trPr>
        <w:tc>
          <w:tcPr>
            <w:tcW w:w="453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１１～１５年</w:t>
            </w:r>
          </w:p>
        </w:tc>
        <w:tc>
          <w:tcPr>
            <w:tcW w:w="453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　　　　　　　　　　　　　８１．１　％</w:t>
            </w:r>
          </w:p>
        </w:tc>
      </w:tr>
      <w:tr>
        <w:trPr/>
        <w:tc>
          <w:tcPr>
            <w:tcW w:w="453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６～１０年</w:t>
            </w:r>
          </w:p>
        </w:tc>
        <w:tc>
          <w:tcPr>
            <w:tcW w:w="453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　　　　　　　　　　　　　９７．０　％</w:t>
            </w:r>
          </w:p>
        </w:tc>
      </w:tr>
      <w:tr>
        <w:trPr/>
        <w:tc>
          <w:tcPr>
            <w:tcW w:w="4536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１～５年</w:t>
            </w:r>
          </w:p>
        </w:tc>
        <w:tc>
          <w:tcPr>
            <w:tcW w:w="4536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　　　　　　　　　　　　　８３．１　％</w:t>
            </w:r>
          </w:p>
        </w:tc>
      </w:tr>
    </w:tbl>
    <w:p>
      <w:pPr>
        <w:pStyle w:val="0"/>
        <w:spacing w:line="280" w:lineRule="exact"/>
        <w:ind w:left="486" w:right="678" w:rightChars="323" w:hanging="486" w:hangingChars="270"/>
        <w:rPr>
          <w:rFonts w:hint="default" w:ascii="ＭＳ ゴシック" w:hAnsi="ＭＳ ゴシック" w:eastAsia="ＭＳ ゴシック"/>
          <w:sz w:val="18"/>
        </w:rPr>
      </w:pPr>
      <w:r>
        <w:rPr>
          <w:rFonts w:hint="default" w:ascii="ＭＳ ゴシック" w:hAnsi="ＭＳ ゴシック" w:eastAsia="ＭＳ ゴシック"/>
          <w:sz w:val="1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106680</wp:posOffset>
                </wp:positionV>
                <wp:extent cx="1024255" cy="358775"/>
                <wp:effectExtent l="0" t="0" r="635" b="635"/>
                <wp:wrapNone/>
                <wp:docPr id="1026" name="テキスト ボックス 9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9"/>
                      <wps:cNvSpPr txBox="1"/>
                      <wps:spPr>
                        <a:xfrm>
                          <a:off x="0" y="0"/>
                          <a:ext cx="102425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【説明欄】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style="mso-position-vertical-relative:text;z-index:2;mso-wrap-distance-left:9pt;width:80.650000000000006pt;height:28.25pt;mso-position-horizontal-relative:text;position:absolute;margin-left:-11pt;margin-top:8.4pt;mso-wrap-distance-bottom:0pt;mso-wrap-distance-right:9pt;mso-wrap-distance-top:0pt;v-text-anchor:top;" o:spid="_x0000_s1026" o:allowincell="t" o:allowoverlap="t" filled="f" stroked="f" strokeweight="0.5pt" o:spt="202" type="#_x0000_t202">
                <v:fill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left"/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【説明欄】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280" w:lineRule="exact"/>
        <w:ind w:right="678" w:rightChars="323"/>
        <w:rPr>
          <w:rFonts w:hint="default" w:ascii="ＭＳ ゴシック" w:hAnsi="ＭＳ ゴシック" w:eastAsia="ＭＳ ゴシック"/>
          <w:sz w:val="20"/>
        </w:rPr>
      </w:pPr>
    </w:p>
    <w:p>
      <w:pPr>
        <w:pStyle w:val="0"/>
        <w:spacing w:line="280" w:lineRule="exact"/>
        <w:ind w:right="678" w:rightChars="323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77470</wp:posOffset>
                </wp:positionV>
                <wp:extent cx="5962650" cy="1422400"/>
                <wp:effectExtent l="635" t="635" r="29845" b="10795"/>
                <wp:wrapNone/>
                <wp:docPr id="1027" name="テキスト ボックス 15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15"/>
                      <wps:cNvSpPr txBox="1"/>
                      <wps:spPr>
                        <a:xfrm>
                          <a:off x="0" y="0"/>
                          <a:ext cx="5962650" cy="142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・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20"/>
                              </w:rPr>
                              <w:t>勤続年数別の２１～２５年は女性職員が１名のため特定職員の給与が推測されることにより「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－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20"/>
                              </w:rPr>
                              <w:t>」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・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</w:rPr>
                              <w:t>勤続年数別の１６～２０年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は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</w:rPr>
                              <w:t>該当者なしのため「－」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style="mso-position-vertical-relative:text;z-index:3;mso-wrap-distance-left:9pt;width:469.5pt;height:112pt;mso-position-horizontal-relative:text;position:absolute;margin-left:15.55pt;margin-top:6.1pt;mso-wrap-distance-bottom:0pt;mso-wrap-distance-right:9pt;mso-wrap-distance-top:0pt;v-text-anchor:top;" o:spid="_x0000_s1027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・</w:t>
                      </w:r>
                      <w:r>
                        <w:rPr>
                          <w:rFonts w:hint="default" w:ascii="ＭＳ 明朝" w:hAnsi="ＭＳ 明朝" w:eastAsia="ＭＳ 明朝"/>
                          <w:sz w:val="20"/>
                        </w:rPr>
                        <w:t>勤続年数別の２１～２５年は女性職員が１名のため特定職員の給与が推測されることにより「</w:t>
                      </w: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－</w:t>
                      </w:r>
                      <w:r>
                        <w:rPr>
                          <w:rFonts w:hint="default" w:ascii="ＭＳ 明朝" w:hAnsi="ＭＳ 明朝" w:eastAsia="ＭＳ 明朝"/>
                          <w:sz w:val="20"/>
                        </w:rPr>
                        <w:t>」</w:t>
                      </w:r>
                    </w:p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・</w:t>
                      </w:r>
                      <w:r>
                        <w:rPr>
                          <w:rFonts w:hint="default" w:ascii="ＭＳ 明朝" w:hAnsi="ＭＳ 明朝" w:eastAsia="ＭＳ 明朝"/>
                        </w:rPr>
                        <w:t>勤続年数別の１６～２０年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は</w:t>
                      </w:r>
                      <w:r>
                        <w:rPr>
                          <w:rFonts w:hint="default" w:ascii="ＭＳ 明朝" w:hAnsi="ＭＳ 明朝" w:eastAsia="ＭＳ 明朝"/>
                        </w:rPr>
                        <w:t>該当者なしのため「－」</w:t>
                      </w:r>
                    </w:p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280" w:lineRule="exact"/>
        <w:ind w:right="678" w:rightChars="323"/>
        <w:rPr>
          <w:rFonts w:hint="default" w:ascii="ＭＳ ゴシック" w:hAnsi="ＭＳ ゴシック" w:eastAsia="ＭＳ ゴシック"/>
          <w:sz w:val="20"/>
        </w:rPr>
      </w:pPr>
    </w:p>
    <w:p>
      <w:pPr>
        <w:pStyle w:val="0"/>
        <w:spacing w:line="280" w:lineRule="exact"/>
        <w:ind w:right="678" w:rightChars="323"/>
        <w:rPr>
          <w:rFonts w:hint="default" w:ascii="ＭＳ ゴシック" w:hAnsi="ＭＳ ゴシック" w:eastAsia="ＭＳ ゴシック"/>
          <w:sz w:val="20"/>
        </w:rPr>
      </w:pPr>
    </w:p>
    <w:p>
      <w:pPr>
        <w:pStyle w:val="0"/>
        <w:spacing w:line="280" w:lineRule="exact"/>
        <w:ind w:right="678" w:rightChars="323"/>
        <w:rPr>
          <w:rFonts w:hint="default" w:ascii="ＭＳ ゴシック" w:hAnsi="ＭＳ ゴシック" w:eastAsia="ＭＳ ゴシック"/>
          <w:sz w:val="20"/>
        </w:rPr>
      </w:pPr>
    </w:p>
    <w:p>
      <w:pPr>
        <w:pStyle w:val="0"/>
        <w:spacing w:line="280" w:lineRule="exact"/>
        <w:ind w:right="678" w:rightChars="323"/>
        <w:rPr>
          <w:rFonts w:hint="default" w:ascii="ＭＳ ゴシック" w:hAnsi="ＭＳ ゴシック" w:eastAsia="ＭＳ ゴシック"/>
          <w:sz w:val="20"/>
        </w:rPr>
      </w:pPr>
    </w:p>
    <w:p>
      <w:pPr>
        <w:pStyle w:val="0"/>
        <w:rPr>
          <w:rFonts w:hint="default" w:ascii="ＭＳ ゴシック" w:hAnsi="ＭＳ ゴシック" w:eastAsia="ＭＳ ゴシック"/>
          <w:sz w:val="20"/>
        </w:rPr>
      </w:pPr>
    </w:p>
    <w:p>
      <w:pPr>
        <w:pStyle w:val="0"/>
        <w:spacing w:line="240" w:lineRule="exact"/>
        <w:rPr>
          <w:rFonts w:hint="default" w:ascii="ＭＳ ゴシック" w:hAnsi="ＭＳ ゴシック" w:eastAsia="ＭＳ ゴシック"/>
          <w:color w:val="FF0000"/>
          <w:sz w:val="18"/>
        </w:rPr>
      </w:pPr>
    </w:p>
    <w:p>
      <w:pPr>
        <w:pStyle w:val="0"/>
        <w:spacing w:line="240" w:lineRule="exact"/>
        <w:rPr>
          <w:rFonts w:hint="default" w:ascii="ＭＳ ゴシック" w:hAnsi="ＭＳ ゴシック" w:eastAsia="ＭＳ ゴシック"/>
          <w:color w:val="FF0000"/>
          <w:sz w:val="18"/>
        </w:rPr>
      </w:pPr>
    </w:p>
    <w:p>
      <w:pPr>
        <w:pStyle w:val="0"/>
        <w:spacing w:line="240" w:lineRule="exact"/>
        <w:rPr>
          <w:rFonts w:hint="default" w:ascii="ＭＳ ゴシック" w:hAnsi="ＭＳ ゴシック" w:eastAsia="ＭＳ ゴシック"/>
          <w:color w:val="FF0000"/>
          <w:sz w:val="18"/>
        </w:rPr>
      </w:pPr>
    </w:p>
    <w:p>
      <w:pPr>
        <w:pStyle w:val="0"/>
        <w:spacing w:line="240" w:lineRule="exact"/>
        <w:ind w:left="210" w:leftChars="100"/>
        <w:rPr>
          <w:rFonts w:hint="default" w:ascii="ＭＳ ゴシック" w:hAnsi="ＭＳ ゴシック" w:eastAsia="ＭＳ ゴシック"/>
          <w:color w:val="FF0000"/>
          <w:sz w:val="18"/>
        </w:rPr>
      </w:pPr>
    </w:p>
    <w:p>
      <w:pPr>
        <w:pStyle w:val="0"/>
        <w:spacing w:line="240" w:lineRule="exact"/>
        <w:rPr>
          <w:rFonts w:hint="default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18"/>
        </w:rPr>
        <w:t>＊　勤続年数は、採用年度を勤続年数１年目とし、情報公表の対象となる年度までの年度単位で算出している。</w:t>
      </w:r>
    </w:p>
    <w:sectPr>
      <w:headerReference r:id="rId5" w:type="default"/>
      <w:pgSz w:w="11906" w:h="16838"/>
      <w:pgMar w:top="454" w:right="964" w:bottom="454" w:left="964" w:header="397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 w:ascii="ＭＳ ゴシック" w:hAnsi="ＭＳ ゴシック" w:eastAsia="ＭＳ ゴシック"/>
        <w:sz w:val="24"/>
        <w:bdr w:val="single" w:color="auto" w:sz="4" w:space="0"/>
      </w:rPr>
    </w:pPr>
    <w:r>
      <w:rPr>
        <w:rFonts w:hint="default"/>
      </w:rPr>
      <w:ptab w:alignment="center" w:relativeTo="margin" w:leader="none"/>
    </w:r>
    <w:r>
      <w:rPr>
        <w:rFonts w:hint="default"/>
      </w:rPr>
      <w:ptab w:alignment="right" w:relativeTo="margin" w:leader="none"/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Placeholder Text"/>
    <w:basedOn w:val="10"/>
    <w:next w:val="22"/>
    <w:link w:val="0"/>
    <w:uiPriority w:val="0"/>
    <w:rPr>
      <w:color w:val="808080"/>
    </w:rPr>
  </w:style>
  <w:style w:type="paragraph" w:styleId="23">
    <w:name w:val="Normal (Web)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2</Words>
  <Characters>593</Characters>
  <Application>JUST Note</Application>
  <Lines>69</Lines>
  <Paragraphs>50</Paragraphs>
  <Company>内閣府</Company>
  <CharactersWithSpaces>818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水野 悠歌</cp:lastModifiedBy>
  <cp:lastPrinted>2022-12-14T05:14:00Z</cp:lastPrinted>
  <dcterms:created xsi:type="dcterms:W3CDTF">2022-12-14T08:44:00Z</dcterms:created>
  <dcterms:modified xsi:type="dcterms:W3CDTF">2025-02-04T04:27:04Z</dcterms:modified>
  <cp:revision>13</cp:revision>
</cp:coreProperties>
</file>